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61"/>
        <w:gridCol w:w="3961"/>
        <w:gridCol w:w="3961"/>
      </w:tblGrid>
      <w:tr>
        <w:trPr>
          <w:trHeight w:hRule="exact" w:val="1562"/>
        </w:trPr>
        <w:tc>
          <w:tcPr>
            <w:tcW w:type="dxa" w:w="2008"/>
            <w:vMerge w:val="restart"/>
            <w:tcBorders>
              <w:bottom w:sz="16.0" w:val="single" w:color="#13247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79830" cy="158242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158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exact" w:before="428" w:after="0"/>
              <w:ind w:left="13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30"/>
              </w:rPr>
              <w:t>Integrated Ferroelectrics</w:t>
            </w:r>
          </w:p>
        </w:tc>
        <w:tc>
          <w:tcPr>
            <w:tcW w:type="dxa" w:w="1694"/>
            <w:vMerge w:val="restart"/>
            <w:tcBorders>
              <w:bottom w:sz="16.0" w:val="single" w:color="#13247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21717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17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30"/>
        </w:trPr>
        <w:tc>
          <w:tcPr>
            <w:tcW w:type="dxa" w:w="3961"/>
            <w:vMerge/>
            <w:tcBorders>
              <w:bottom w:sz="16.0" w:val="single" w:color="#132475"/>
            </w:tcBorders>
          </w:tcPr>
          <w:p/>
        </w:tc>
        <w:tc>
          <w:tcPr>
            <w:tcW w:type="dxa" w:w="8160"/>
            <w:tcBorders>
              <w:bottom w:sz="16.0" w:val="single" w:color="#13247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74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6"/>
              </w:rPr>
              <w:t xml:space="preserve">ISSN: 1058-4587 (Print) 1607-8489 (Online) Journal homepage: </w:t>
            </w:r>
            <w:r>
              <w:rPr>
                <w:rFonts w:ascii="OpenSans" w:hAnsi="OpenSans" w:eastAsia="OpenSans"/>
                <w:b/>
                <w:i w:val="0"/>
                <w:color w:val="000000"/>
                <w:sz w:val="16"/>
                <w:u w:val="single"/>
              </w:rPr>
              <w:hyperlink r:id="rId11" w:history="1">
                <w:r>
                  <w:rPr>
                    <w:rStyle w:val="Hyperlink"/>
                  </w:rPr>
                  <w:t>https://www.tandfonline.com/loi/ginf20</w:t>
                </w:r>
              </w:hyperlink>
            </w:r>
          </w:p>
        </w:tc>
        <w:tc>
          <w:tcPr>
            <w:tcW w:type="dxa" w:w="3961"/>
            <w:vMerge/>
            <w:tcBorders>
              <w:bottom w:sz="16.0" w:val="single" w:color="#132475"/>
            </w:tcBorders>
          </w:tcPr>
          <w:p/>
        </w:tc>
      </w:tr>
    </w:tbl>
    <w:p>
      <w:pPr>
        <w:autoSpaceDN w:val="0"/>
        <w:autoSpaceDE w:val="0"/>
        <w:widowControl/>
        <w:spacing w:line="462" w:lineRule="exact" w:before="434" w:after="0"/>
        <w:ind w:left="1530" w:right="3168" w:firstLine="0"/>
        <w:jc w:val="left"/>
      </w:pPr>
      <w:r>
        <w:rPr>
          <w:rFonts w:ascii="OpenSans" w:hAnsi="OpenSans" w:eastAsia="OpenSans"/>
          <w:b/>
          <w:i w:val="0"/>
          <w:color w:val="000000"/>
          <w:sz w:val="36"/>
        </w:rPr>
        <w:t>Integration of H</w:t>
      </w:r>
      <w:r>
        <w:rPr>
          <w:rFonts w:ascii="OpenSans" w:hAnsi="OpenSans" w:eastAsia="OpenSans"/>
          <w:b/>
          <w:i w:val="0"/>
          <w:color w:val="000000"/>
          <w:sz w:val="25"/>
        </w:rPr>
        <w:t>2</w:t>
      </w:r>
      <w:r>
        <w:rPr>
          <w:rFonts w:ascii="OpenSans" w:hAnsi="OpenSans" w:eastAsia="OpenSans"/>
          <w:b/>
          <w:i w:val="0"/>
          <w:color w:val="000000"/>
          <w:sz w:val="36"/>
        </w:rPr>
        <w:t xml:space="preserve"> barriers for ferroelectric </w:t>
      </w:r>
      <w:r>
        <w:rPr>
          <w:rFonts w:ascii="OpenSans" w:hAnsi="OpenSans" w:eastAsia="OpenSans"/>
          <w:b/>
          <w:i w:val="0"/>
          <w:color w:val="000000"/>
          <w:sz w:val="36"/>
        </w:rPr>
        <w:t>memories based on SrBi</w:t>
      </w:r>
      <w:r>
        <w:rPr>
          <w:rFonts w:ascii="OpenSans" w:hAnsi="OpenSans" w:eastAsia="OpenSans"/>
          <w:b/>
          <w:i w:val="0"/>
          <w:color w:val="000000"/>
          <w:sz w:val="25"/>
        </w:rPr>
        <w:t>2</w:t>
      </w:r>
      <w:r>
        <w:rPr>
          <w:rFonts w:ascii="OpenSans" w:hAnsi="OpenSans" w:eastAsia="OpenSans"/>
          <w:b/>
          <w:i w:val="0"/>
          <w:color w:val="000000"/>
          <w:sz w:val="36"/>
        </w:rPr>
        <w:t>Ta</w:t>
      </w:r>
      <w:r>
        <w:rPr>
          <w:rFonts w:ascii="OpenSans" w:hAnsi="OpenSans" w:eastAsia="OpenSans"/>
          <w:b/>
          <w:i w:val="0"/>
          <w:color w:val="000000"/>
          <w:sz w:val="25"/>
        </w:rPr>
        <w:t>2</w:t>
      </w:r>
      <w:r>
        <w:rPr>
          <w:rFonts w:ascii="OpenSans" w:hAnsi="OpenSans" w:eastAsia="OpenSans"/>
          <w:b/>
          <w:i w:val="0"/>
          <w:color w:val="000000"/>
          <w:sz w:val="36"/>
        </w:rPr>
        <w:t>O</w:t>
      </w:r>
      <w:r>
        <w:rPr>
          <w:rFonts w:ascii="OpenSans" w:hAnsi="OpenSans" w:eastAsia="OpenSans"/>
          <w:b/>
          <w:i w:val="0"/>
          <w:color w:val="000000"/>
          <w:sz w:val="25"/>
        </w:rPr>
        <w:t>9</w:t>
      </w:r>
      <w:r>
        <w:rPr>
          <w:rFonts w:ascii="OpenSans" w:hAnsi="OpenSans" w:eastAsia="OpenSans"/>
          <w:b/>
          <w:i w:val="0"/>
          <w:color w:val="000000"/>
          <w:sz w:val="36"/>
        </w:rPr>
        <w:t xml:space="preserve"> (SBT)</w:t>
      </w:r>
    </w:p>
    <w:p>
      <w:pPr>
        <w:autoSpaceDN w:val="0"/>
        <w:autoSpaceDE w:val="0"/>
        <w:widowControl/>
        <w:spacing w:line="280" w:lineRule="exact" w:before="540" w:after="0"/>
        <w:ind w:left="1530" w:right="1872" w:firstLine="0"/>
        <w:jc w:val="left"/>
      </w:pPr>
      <w:r>
        <w:rPr>
          <w:rFonts w:ascii="OpenSans" w:hAnsi="OpenSans" w:eastAsia="OpenSans"/>
          <w:b/>
          <w:i w:val="0"/>
          <w:color w:val="000000"/>
          <w:sz w:val="24"/>
        </w:rPr>
        <w:t xml:space="preserve">Walter Hartner , Günther Schindler , Peter Bosk , Zonimir Gabric , Markus </w:t>
      </w:r>
      <w:r>
        <w:rPr>
          <w:rFonts w:ascii="OpenSans" w:hAnsi="OpenSans" w:eastAsia="OpenSans"/>
          <w:b/>
          <w:i w:val="0"/>
          <w:color w:val="000000"/>
          <w:sz w:val="24"/>
        </w:rPr>
        <w:t xml:space="preserve">Kastner , Gerhard Beitel , Thomas Mikolajick , Christine Dehm &amp; Carlos </w:t>
      </w:r>
      <w:r>
        <w:rPr>
          <w:rFonts w:ascii="OpenSans" w:hAnsi="OpenSans" w:eastAsia="OpenSans"/>
          <w:b/>
          <w:i w:val="0"/>
          <w:color w:val="000000"/>
          <w:sz w:val="24"/>
        </w:rPr>
        <w:t>Mazuré</w:t>
      </w:r>
    </w:p>
    <w:p>
      <w:pPr>
        <w:autoSpaceDN w:val="0"/>
        <w:autoSpaceDE w:val="0"/>
        <w:widowControl/>
        <w:spacing w:line="250" w:lineRule="exact" w:before="442" w:after="0"/>
        <w:ind w:left="1530" w:right="1584" w:firstLine="0"/>
        <w:jc w:val="left"/>
      </w:pPr>
      <w:r>
        <w:rPr>
          <w:rFonts w:ascii="OpenSans" w:hAnsi="OpenSans" w:eastAsia="OpenSans"/>
          <w:b/>
          <w:i w:val="0"/>
          <w:color w:val="000000"/>
          <w:sz w:val="20"/>
        </w:rPr>
        <w:t>To cite this article: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 Walter Hartner , Günther Schindler , Peter Bosk , Zonimir Gabric , Markus 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Kastner , Gerhard Beitel , Thomas Mikolajick , Christine Dehm &amp; Carlos Mazuré (2000) Integration 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>of H</w:t>
      </w:r>
      <w:r>
        <w:rPr>
          <w:rFonts w:ascii="ArialUnicodeMS" w:hAnsi="ArialUnicodeMS" w:eastAsia="ArialUnicodeMS"/>
          <w:b w:val="0"/>
          <w:i w:val="0"/>
          <w:color w:val="000000"/>
          <w:sz w:val="14"/>
        </w:rPr>
        <w:t>2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 barriers for ferroelectric memories based on SrBi</w:t>
      </w:r>
      <w:r>
        <w:rPr>
          <w:rFonts w:ascii="ArialUnicodeMS" w:hAnsi="ArialUnicodeMS" w:eastAsia="ArialUnicodeMS"/>
          <w:b w:val="0"/>
          <w:i w:val="0"/>
          <w:color w:val="000000"/>
          <w:sz w:val="14"/>
        </w:rPr>
        <w:t>2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>Ta</w:t>
      </w:r>
      <w:r>
        <w:rPr>
          <w:rFonts w:ascii="ArialUnicodeMS" w:hAnsi="ArialUnicodeMS" w:eastAsia="ArialUnicodeMS"/>
          <w:b w:val="0"/>
          <w:i w:val="0"/>
          <w:color w:val="000000"/>
          <w:sz w:val="14"/>
        </w:rPr>
        <w:t>2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>O</w:t>
      </w:r>
      <w:r>
        <w:rPr>
          <w:rFonts w:ascii="ArialUnicodeMS" w:hAnsi="ArialUnicodeMS" w:eastAsia="ArialUnicodeMS"/>
          <w:b w:val="0"/>
          <w:i w:val="0"/>
          <w:color w:val="000000"/>
          <w:sz w:val="14"/>
        </w:rPr>
        <w:t>9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 (SBT), Integrated Ferroelectrics, </w:t>
      </w:r>
      <w:r>
        <w:rPr>
          <w:rFonts w:ascii="ArialUnicodeMS" w:hAnsi="ArialUnicodeMS" w:eastAsia="ArialUnicodeMS"/>
          <w:b w:val="0"/>
          <w:i w:val="0"/>
          <w:color w:val="000000"/>
          <w:sz w:val="20"/>
        </w:rPr>
        <w:t xml:space="preserve">31:1-4, 273-284, DOI: </w:t>
      </w:r>
      <w:r>
        <w:rPr>
          <w:rFonts w:ascii="ArialUnicodeMS" w:hAnsi="ArialUnicodeMS" w:eastAsia="ArialUnicodeMS"/>
          <w:b w:val="0"/>
          <w:i w:val="0"/>
          <w:color w:val="000000"/>
          <w:sz w:val="20"/>
          <w:u w:val="single"/>
        </w:rPr>
        <w:hyperlink r:id="rId12" w:history="1">
          <w:r>
            <w:rPr>
              <w:rStyle w:val="Hyperlink"/>
            </w:rPr>
            <w:t>10.1080/10584580008215660</w:t>
          </w:r>
        </w:hyperlink>
      </w:r>
    </w:p>
    <w:p>
      <w:pPr>
        <w:autoSpaceDN w:val="0"/>
        <w:autoSpaceDE w:val="0"/>
        <w:widowControl/>
        <w:spacing w:line="272" w:lineRule="exact" w:before="138" w:after="726"/>
        <w:ind w:left="15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20"/>
        </w:rPr>
        <w:t xml:space="preserve">To link to this article: </w:t>
      </w:r>
      <w:r>
        <w:rPr>
          <w:rFonts w:ascii="OpenSans" w:hAnsi="OpenSans" w:eastAsia="OpenSans"/>
          <w:b w:val="0"/>
          <w:i w:val="0"/>
          <w:color w:val="000000"/>
          <w:sz w:val="20"/>
        </w:rPr>
        <w:t xml:space="preserve"> </w:t>
      </w:r>
      <w:r>
        <w:rPr>
          <w:rFonts w:ascii="OpenSans" w:hAnsi="OpenSans" w:eastAsia="OpenSans"/>
          <w:b w:val="0"/>
          <w:i w:val="0"/>
          <w:color w:val="000000"/>
          <w:sz w:val="20"/>
          <w:u w:val="single"/>
        </w:rPr>
        <w:hyperlink r:id="rId13" w:history="1">
          <w:r>
            <w:rPr>
              <w:rStyle w:val="Hyperlink"/>
            </w:rPr>
            <w:t>https://doi.org/10.1080/10584580008215660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90.0" w:type="dxa"/>
      </w:tblPr>
      <w:tblGrid>
        <w:gridCol w:w="5941"/>
        <w:gridCol w:w="5941"/>
      </w:tblGrid>
      <w:tr>
        <w:trPr>
          <w:trHeight w:hRule="exact" w:val="768"/>
        </w:trPr>
        <w:tc>
          <w:tcPr>
            <w:tcW w:type="dxa" w:w="578"/>
            <w:tcBorders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820" cy="22478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" cy="224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14"/>
            <w:tcBorders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4" w:after="0"/>
              <w:ind w:left="5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8"/>
              </w:rPr>
              <w:t>Published online: 12 Sep 2006.</w:t>
            </w:r>
          </w:p>
        </w:tc>
      </w:tr>
      <w:tr>
        <w:trPr>
          <w:trHeight w:hRule="exact" w:val="860"/>
        </w:trPr>
        <w:tc>
          <w:tcPr>
            <w:tcW w:type="dxa" w:w="578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3520" cy="17398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" cy="173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14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5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8"/>
              </w:rPr>
              <w:hyperlink r:id="rId16" w:history="1">
                <w:r>
                  <w:rPr>
                    <w:rStyle w:val="Hyperlink"/>
                  </w:rPr>
                  <w:t xml:space="preserve">Submit your article to this journal </w:t>
                </w:r>
              </w:hyperlink>
            </w:r>
            <w:r>
              <w:drawing>
                <wp:inline xmlns:a="http://schemas.openxmlformats.org/drawingml/2006/main" xmlns:pic="http://schemas.openxmlformats.org/drawingml/2006/picture">
                  <wp:extent cx="165100" cy="11175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11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58"/>
        </w:trPr>
        <w:tc>
          <w:tcPr>
            <w:tcW w:type="dxa" w:w="578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1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6540" cy="1905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14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2" w:after="0"/>
              <w:ind w:left="5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8"/>
              </w:rPr>
              <w:t>Article views: 30</w:t>
            </w:r>
          </w:p>
        </w:tc>
      </w:tr>
      <w:tr>
        <w:trPr>
          <w:trHeight w:hRule="exact" w:val="856"/>
        </w:trPr>
        <w:tc>
          <w:tcPr>
            <w:tcW w:type="dxa" w:w="578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0660" cy="23114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14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5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8"/>
              </w:rPr>
              <w:hyperlink r:id="rId20" w:history="1">
                <w:r>
                  <w:rPr>
                    <w:rStyle w:val="Hyperlink"/>
                  </w:rPr>
                  <w:t xml:space="preserve">View related articles </w:t>
                </w:r>
              </w:hyperlink>
            </w:r>
            <w:r>
              <w:drawing>
                <wp:inline xmlns:a="http://schemas.openxmlformats.org/drawingml/2006/main" xmlns:pic="http://schemas.openxmlformats.org/drawingml/2006/picture">
                  <wp:extent cx="165100" cy="11176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11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58"/>
        </w:trPr>
        <w:tc>
          <w:tcPr>
            <w:tcW w:type="dxa" w:w="578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3520" cy="22352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" cy="223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14"/>
            <w:tcBorders>
              <w:top w:sz="7.200016021728516" w:val="single" w:color="#000000"/>
              <w:bottom w:sz="7.20001602172851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5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8"/>
              </w:rPr>
              <w:hyperlink r:id="rId22" w:history="1">
                <w:r>
                  <w:rPr>
                    <w:rStyle w:val="Hyperlink"/>
                  </w:rPr>
                  <w:t xml:space="preserve">Citing articles: 3 View citing articles </w:t>
                </w:r>
              </w:hyperlink>
            </w:r>
            <w:r>
              <w:drawing>
                <wp:inline xmlns:a="http://schemas.openxmlformats.org/drawingml/2006/main" xmlns:pic="http://schemas.openxmlformats.org/drawingml/2006/picture">
                  <wp:extent cx="165100" cy="11176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11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888" w:after="0"/>
        <w:ind w:left="2592" w:right="2736" w:firstLine="0"/>
        <w:jc w:val="center"/>
      </w:pPr>
      <w:r>
        <w:rPr>
          <w:rFonts w:ascii="OpenSans" w:hAnsi="OpenSans" w:eastAsia="OpenSans"/>
          <w:b w:val="0"/>
          <w:i w:val="0"/>
          <w:color w:val="000000"/>
          <w:sz w:val="18"/>
        </w:rPr>
        <w:t xml:space="preserve">Full Terms &amp; Conditions of access and use can be found at </w:t>
      </w:r>
      <w:r>
        <w:br/>
      </w:r>
      <w:r>
        <w:rPr>
          <w:rFonts w:ascii="OpenSans" w:hAnsi="OpenSans" w:eastAsia="OpenSans"/>
          <w:b w:val="0"/>
          <w:i w:val="0"/>
          <w:color w:val="000000"/>
          <w:sz w:val="18"/>
        </w:rPr>
        <w:hyperlink r:id="rId23" w:history="1">
          <w:r>
            <w:rPr>
              <w:rStyle w:val="Hyperlink"/>
            </w:rPr>
            <w:t>https://www.tandfonline.com/action/journalInformation?journalCode=ginf20</w:t>
          </w:r>
        </w:hyperlink>
      </w:r>
    </w:p>
    <w:p>
      <w:pPr>
        <w:sectPr>
          <w:pgSz w:w="12686" w:h="16661"/>
          <w:pgMar w:top="188" w:right="392" w:bottom="424" w:left="412" w:header="720" w:footer="720" w:gutter="0"/>
          <w:cols w:space="720" w:num="1" w:equalWidth="0"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88610" cy="82537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25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88610" cy="82473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247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88610" cy="825373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25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2740" cy="82689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8268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82270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55"/>
          <w:pgMar w:top="0" w:right="0" w:bottom="2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822705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7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88610" cy="82575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257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2740" cy="82727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8272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82270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7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89880" cy="826261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262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2740" cy="826897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8268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80" w:h="12960"/>
          <w:pgMar w:top="0" w:right="0" w:bottom="0" w:left="0" w:header="720" w:footer="720" w:gutter="0"/>
          <w:cols w:space="720" w:num="1" w:equalWidth="0"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8280" w:space="0"/>
            <w:col w:w="118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4010" cy="82689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826897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8280" w:h="12960"/>
      <w:pgMar w:top="0" w:right="0" w:bottom="0" w:left="0" w:header="720" w:footer="720" w:gutter="0"/>
      <w:cols w:space="720" w:num="1" w:equalWidth="0">
        <w:col w:w="8280" w:space="0"/>
        <w:col w:w="8280" w:space="0"/>
        <w:col w:w="8280" w:space="0"/>
        <w:col w:w="8280" w:space="0"/>
        <w:col w:w="8280" w:space="0"/>
        <w:col w:w="8280" w:space="0"/>
        <w:col w:w="8280" w:space="0"/>
        <w:col w:w="8280" w:space="0"/>
        <w:col w:w="8280" w:space="0"/>
        <w:col w:w="8280" w:space="0"/>
        <w:col w:w="8280" w:space="0"/>
        <w:col w:w="8280" w:space="0"/>
        <w:col w:w="118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www.tandfonline.com/loi/ginf20" TargetMode="External"/><Relationship Id="rId12" Type="http://schemas.openxmlformats.org/officeDocument/2006/relationships/hyperlink" Target="https://www.tandfonline.com/action/showCitFormats?doi=10.1080/10584580008215660" TargetMode="External"/><Relationship Id="rId13" Type="http://schemas.openxmlformats.org/officeDocument/2006/relationships/hyperlink" Target="https://doi.org/10.1080/10584580008215660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hyperlink" Target="https://www.tandfonline.com/action/authorSubmission?journalCode=ginf20&amp;show=instructions" TargetMode="External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yperlink" Target="https://www.tandfonline.com/doi/mlt/10.1080/10584580008215660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s://www.tandfonline.com/doi/citedby/10.1080/10584580008215660#tabModule" TargetMode="External"/><Relationship Id="rId23" Type="http://schemas.openxmlformats.org/officeDocument/2006/relationships/hyperlink" Target="https://www.tandfonline.com/action/journalInformation?journalCode=ginf20" TargetMode="External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